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WP1"/>
        <w:rPr>
          <w:sz w:val="48"/>
          <w:sz w:val="48"/>
          <w:szCs w:val="24"/>
          <w:rFonts w:ascii="Comic Sans MS" w:hAnsi="Comic Sans MS" w:eastAsia="SimSun" w:cs="Arial2"/>
          <w:color w:val="FF0000"/>
          <w:lang w:val="ru-RU" w:eastAsia="zh-CN" w:bidi="hi-IN"/>
        </w:rPr>
      </w:pPr>
      <w:r>
        <w:rPr>
          <w:rFonts w:eastAsia="SimSun" w:cs="Arial2"/>
          <w:color w:val="FF0000"/>
          <w:sz w:val="48"/>
          <w:szCs w:val="24"/>
          <w:lang w:val="ru-RU" w:eastAsia="zh-CN" w:bidi="hi-IN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605" cy="14605"/>
            <wp:effectExtent l="0" t="0" r="0" b="0"/>
            <wp:wrapNone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1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605" cy="14605"/>
            <wp:effectExtent l="0" t="0" r="0" b="0"/>
            <wp:wrapNone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1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2304415</wp:posOffset>
            </wp:positionH>
            <wp:positionV relativeFrom="paragraph">
              <wp:posOffset>-360045</wp:posOffset>
            </wp:positionV>
            <wp:extent cx="1375410" cy="1834515"/>
            <wp:effectExtent l="0" t="0" r="0" b="0"/>
            <wp:wrapSquare wrapText="largest"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83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WwP5"/>
      </w:pPr>
      <w:r>
        <w:rPr/>
      </w:r>
      <w:r/>
    </w:p>
    <w:p>
      <w:pPr>
        <w:pStyle w:val="WwP5"/>
      </w:pPr>
      <w:r>
        <w:rPr/>
      </w:r>
      <w:r/>
    </w:p>
    <w:p>
      <w:pPr>
        <w:pStyle w:val="WwP5"/>
      </w:pPr>
      <w:r>
        <w:rPr/>
      </w:r>
      <w:r/>
    </w:p>
    <w:p>
      <w:pPr>
        <w:pStyle w:val="WwP5"/>
      </w:pPr>
      <w:r>
        <w:rPr/>
        <w:t>«МАСЛЕНИЦА»</w:t>
      </w:r>
      <w:r/>
    </w:p>
    <w:p>
      <w:pPr>
        <w:pStyle w:val="WwP6"/>
      </w:pPr>
      <w:r>
        <w:rPr/>
        <w:t>информация для взрослых</w:t>
      </w:r>
      <w:r/>
    </w:p>
    <w:p>
      <w:pPr>
        <w:pStyle w:val="WwP1"/>
      </w:pPr>
      <w:r>
        <w:rPr/>
      </w:r>
      <w:r/>
    </w:p>
    <w:p>
      <w:pPr>
        <w:pStyle w:val="WwP2"/>
      </w:pPr>
      <w:r>
        <w:rPr>
          <w:rStyle w:val="WwT2"/>
        </w:rPr>
        <w:t>В большинстве районов России снежная зима держится по полгода, а то и дольше. Поэтому издавна люди изо всех сил старались помочь весне красной поскорее привести на землю тепло. Даже праздник такой придумали – Масленицу. Сегодня его называют проводами русской зимы. Раньше Масленицу праздновали целую неделю, доедали зимние запасы, а потом жили впроголодь, вплоть до прихода мая и появления первых съедобных корений и растений. Теперь, конечно, такой пост соблюдает далеко не каждый, да и раньше народ поговорку придумал: «Пост – не мост, можно и объехать». А вот аналогии проводов русской зимы с доброй старой Масленицей просматриваются невооружённым глазом.</w:t>
      </w:r>
      <w:r>
        <w:rPr/>
        <w:br/>
      </w:r>
      <w:r>
        <w:rPr>
          <w:rStyle w:val="WwT2"/>
        </w:rPr>
        <w:t>Главное сходство их заключается в том, что в этот день все пекут блины, румяные, горячие.</w:t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605" cy="14605"/>
            <wp:effectExtent l="0" t="0" r="0" b="0"/>
            <wp:wrapNone/>
            <wp:docPr id="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1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WwP2"/>
      </w:pPr>
      <w:r>
        <w:rPr>
          <w:rStyle w:val="WwT2"/>
        </w:rPr>
        <w:t>Блины пекут по разным рецептам и едят их по-разному – со сметаной, с творогом, мёдом, маслом, мясным фаршем, красной рыбой холодного копчения, икрой. Но главное общее условие – блинов должно быть много, чтобы наесться ими до отвала могли и все домашние, и пришедшие гости.</w:t>
      </w:r>
      <w:r>
        <w:rPr/>
        <w:br/>
      </w:r>
      <w:r>
        <w:rPr>
          <w:rStyle w:val="WwT2"/>
        </w:rPr>
        <w:t>Оказывается, традиция выпекания блинов в этот день связана с тем, что люди, как могли, пытались привлечь милость солнышка, уговорить его побольше греть замёрзшую землю. Вот и стряпали блины – этакие солнечные малыши-кругляши. Кроме того, в русских деревнях было принято производить различные действия, связанные с кругом, – объезжать несколько раз село на лошадях, украшать колесо от телеги и на шесте носить его по улицам, водить хороводы. Считалось, что подобные церемонии «умасливают» солнце, делают его добрее. Отсюда и название – Масленица.Празднуют этот день в конце февраля – в начале марта, в одно из воскресений. Чёткой даты праздник не имеет. «В феврале зима с весной встречается первой», – говорил народ. К началу Масленицы в деревнях и городах готовились снежные горы, строились качели да карусели, балаганы для артистов – весёлых скоморохов да кукольников.</w:t>
      </w:r>
      <w:r>
        <w:rPr/>
        <w:br/>
      </w:r>
      <w:r>
        <w:rPr>
          <w:rStyle w:val="WwT2"/>
        </w:rPr>
        <w:t xml:space="preserve">Каждый день на масленичной неделе имел своё название. Например, </w:t>
      </w:r>
      <w:r>
        <w:rPr>
          <w:rStyle w:val="WwT4"/>
          <w:color w:val="FF3333"/>
        </w:rPr>
        <w:t>понедельник – «встреча Масленицы»</w:t>
      </w:r>
      <w:r>
        <w:rPr>
          <w:rStyle w:val="WwT4"/>
        </w:rPr>
        <w:t>,</w:t>
      </w:r>
      <w:r>
        <w:rPr>
          <w:rStyle w:val="WwT4"/>
          <w:color w:val="FF3333"/>
        </w:rPr>
        <w:t>вторник</w:t>
      </w:r>
      <w:r>
        <w:rPr>
          <w:rStyle w:val="WwT4"/>
        </w:rPr>
        <w:t xml:space="preserve"> –</w:t>
      </w:r>
      <w:r>
        <w:rPr>
          <w:rStyle w:val="WwT4"/>
          <w:color w:val="FF3333"/>
        </w:rPr>
        <w:t>«заигрыши»</w:t>
      </w:r>
      <w:r>
        <w:rPr>
          <w:rStyle w:val="WwT4"/>
        </w:rPr>
        <w:t>,</w:t>
      </w:r>
      <w:r>
        <w:rPr>
          <w:rStyle w:val="WwT2"/>
        </w:rPr>
        <w:t xml:space="preserve"> т. е. первые масленичные игры молодёжи на улицах и хождение ряженых по избам. </w:t>
      </w:r>
      <w:r>
        <w:rPr>
          <w:rStyle w:val="WwT4"/>
          <w:color w:val="FF3333"/>
        </w:rPr>
        <w:t>Среда</w:t>
      </w:r>
      <w:r>
        <w:rPr>
          <w:rStyle w:val="WwT2"/>
        </w:rPr>
        <w:t xml:space="preserve"> называлась </w:t>
      </w:r>
      <w:r>
        <w:rPr>
          <w:rStyle w:val="WwT4"/>
          <w:color w:val="FF3333"/>
        </w:rPr>
        <w:t>«лакомкой»</w:t>
      </w:r>
      <w:r>
        <w:rPr>
          <w:rStyle w:val="WwT4"/>
        </w:rPr>
        <w:t>,</w:t>
      </w:r>
      <w:r>
        <w:rPr>
          <w:rStyle w:val="WwT2"/>
        </w:rPr>
        <w:t xml:space="preserve"> в этот день во всех домах ставилось обильное угощение. </w:t>
      </w:r>
      <w:r>
        <w:rPr>
          <w:rStyle w:val="WwT4"/>
          <w:color w:val="FF3333"/>
        </w:rPr>
        <w:t>Четверг</w:t>
      </w:r>
      <w:r>
        <w:rPr>
          <w:rStyle w:val="WwT2"/>
        </w:rPr>
        <w:t xml:space="preserve"> имел два названия – </w:t>
      </w:r>
      <w:r>
        <w:rPr>
          <w:rStyle w:val="WwT4"/>
          <w:color w:val="FF3333"/>
        </w:rPr>
        <w:t>«широкий пир»</w:t>
      </w:r>
      <w:r>
        <w:rPr>
          <w:rStyle w:val="WwT4"/>
        </w:rPr>
        <w:t xml:space="preserve"> и </w:t>
      </w:r>
      <w:r>
        <w:rPr>
          <w:rStyle w:val="WwT4"/>
          <w:color w:val="FF3333"/>
        </w:rPr>
        <w:t>«разгул»</w:t>
      </w:r>
      <w:r>
        <w:rPr>
          <w:rStyle w:val="WwT4"/>
        </w:rPr>
        <w:t>:</w:t>
      </w:r>
      <w:r>
        <w:rPr>
          <w:rStyle w:val="WwT2"/>
        </w:rPr>
        <w:t xml:space="preserve"> тут были и блины, и гости, и шумное веселье за долгими сытными обедами.</w:t>
      </w:r>
      <w:r>
        <w:rPr>
          <w:rStyle w:val="WwT2"/>
          <w:color w:val="FF3333"/>
        </w:rPr>
        <w:t xml:space="preserve"> </w:t>
      </w:r>
      <w:r>
        <w:rPr>
          <w:rStyle w:val="WwT4"/>
          <w:color w:val="FF3333"/>
        </w:rPr>
        <w:t>В пятницу</w:t>
      </w:r>
      <w:r>
        <w:rPr>
          <w:rStyle w:val="WwT2"/>
        </w:rPr>
        <w:t xml:space="preserve"> бывали </w:t>
      </w:r>
      <w:r>
        <w:rPr>
          <w:rStyle w:val="WwT4"/>
          <w:color w:val="FF3333"/>
        </w:rPr>
        <w:t>«тёщины</w:t>
      </w:r>
      <w:r>
        <w:rPr>
          <w:rStyle w:val="WwT4"/>
        </w:rPr>
        <w:t xml:space="preserve"> </w:t>
      </w:r>
      <w:r>
        <w:rPr>
          <w:rStyle w:val="WwT4"/>
          <w:color w:val="FF3333"/>
        </w:rPr>
        <w:t>вечёрки»</w:t>
      </w:r>
      <w:r>
        <w:rPr>
          <w:rStyle w:val="WwT4"/>
        </w:rPr>
        <w:t>,</w:t>
      </w:r>
      <w:r>
        <w:rPr>
          <w:rStyle w:val="WwT2"/>
        </w:rPr>
        <w:t xml:space="preserve"> а </w:t>
      </w:r>
      <w:r>
        <w:rPr>
          <w:rStyle w:val="WwT2"/>
          <w:color w:val="FF3333"/>
        </w:rPr>
        <w:t xml:space="preserve">в </w:t>
      </w:r>
      <w:r>
        <w:rPr>
          <w:rStyle w:val="WwT4"/>
          <w:color w:val="FF3333"/>
        </w:rPr>
        <w:t>субботу – «золовкины  посиделки»</w:t>
      </w:r>
      <w:r>
        <w:rPr>
          <w:rStyle w:val="WwT2"/>
        </w:rPr>
        <w:t xml:space="preserve"> – продолжение «широкого пира». </w:t>
      </w:r>
      <w:r>
        <w:rPr>
          <w:rStyle w:val="WwT4"/>
          <w:color w:val="FF3333"/>
        </w:rPr>
        <w:t>В воскресенье – «проводы  Масленицы»</w:t>
      </w:r>
      <w:r>
        <w:rPr>
          <w:rStyle w:val="WwT2"/>
          <w:color w:val="FF3333"/>
        </w:rPr>
        <w:t>.</w:t>
      </w:r>
      <w:r>
        <w:rPr/>
        <w:br/>
      </w:r>
      <w:r>
        <w:rPr>
          <w:rStyle w:val="WwT2"/>
        </w:rPr>
        <w:t>Так проходила масленая неделя. Народ старался отпраздновать её как можно веселее, сытнее, богаче. Считалось, что тогда и весь предстоящий год будет благополучным и сытым.</w:t>
      </w:r>
      <w:r>
        <w:rPr/>
        <w:br/>
      </w:r>
      <w:r>
        <w:rPr>
          <w:rStyle w:val="WwT2"/>
        </w:rPr>
        <w:t>Уже с понедельника повсюду пекли блины – главное масленичное угощение. Считалось, что блинами люди напоминали солнцу: вот каким круглым, румяным и горячим ты должно быть! Не стоит изменять этой традиции и теперь. Готовясь отмечать праздник проводов зимы, напеките высокую гору блинов разного качества – тонких и толстых. Блины могут быть и гречневыми, и пшеничными, и овсяными.</w:t>
      </w:r>
      <w:r>
        <w:rPr/>
        <w:br/>
      </w:r>
      <w:r>
        <w:rPr>
          <w:rStyle w:val="WwT2"/>
        </w:rPr>
        <w:t>Кроме блинов и оладьев на Масленицу было принято готовить ещё одно вкусное блюдо – пряженцы. Пряженцы – это такие жаренные картофельные пирожки с разной начинкой.</w:t>
      </w:r>
      <w:r>
        <w:rPr/>
        <w:br/>
      </w:r>
      <w:r>
        <w:rPr>
          <w:rStyle w:val="WwT2"/>
        </w:rPr>
        <w:t>Процесс выпекания блинов, оладьев и пряженцов можно превратить в весёлое и познавательное для ребёнка мероприяти</w:t>
      </w:r>
      <w:r>
        <w:rPr>
          <w:rStyle w:val="WwT3"/>
        </w:rPr>
        <w:t>е</w:t>
      </w:r>
      <w:r>
        <w:rPr>
          <w:rStyle w:val="WwT2"/>
        </w:rPr>
        <w:t>. Расскажите ему, что рецепт приготовления блинов был у каждой хозяйки свой и держался в секрете. Покажите, как надо размешивать тесто – гладко-гладко, чтобы не было ни единого комочка. Посмотрите, как нагревается масло на сковороде и шипят, поджариваясь, блины. Для наряда в этот день подойдут красочные павлово-посадские платки. Ребёнок, покрытый таким платком, со стопкой блинов на расписной тарелке должен поклониться родителям и спросить их:</w:t>
      </w:r>
      <w:r>
        <w:rPr/>
        <w:br/>
      </w:r>
      <w:r>
        <w:rPr>
          <w:rStyle w:val="WwT1"/>
        </w:rPr>
        <w:t xml:space="preserve">– </w:t>
      </w:r>
      <w:r>
        <w:rPr>
          <w:rStyle w:val="WwT2"/>
        </w:rPr>
        <w:t>А знаете ли вы, какой сегодня день? День проводов зимы холодной, день встречи весны тёплой – праздник Масленицы.</w:t>
      </w:r>
      <w:r>
        <w:rPr/>
        <w:br/>
      </w:r>
      <w:r>
        <w:rPr>
          <w:rStyle w:val="WwT4"/>
          <w:color w:val="FF3333"/>
        </w:rPr>
        <w:t>Выезжала честная Масленица,</w:t>
      </w:r>
      <w:r>
        <w:rPr>
          <w:rStyle w:val="WwT5"/>
          <w:color w:val="FF3333"/>
        </w:rPr>
        <w:br/>
      </w:r>
      <w:r>
        <w:rPr>
          <w:rStyle w:val="WwT4"/>
          <w:color w:val="FF3333"/>
        </w:rPr>
        <w:t>Широкая боярыня,</w:t>
      </w:r>
      <w:r>
        <w:rPr>
          <w:rStyle w:val="WwT5"/>
          <w:color w:val="FF3333"/>
        </w:rPr>
        <w:br/>
      </w:r>
      <w:r>
        <w:rPr>
          <w:rStyle w:val="WwT4"/>
          <w:color w:val="FF3333"/>
        </w:rPr>
        <w:t>Во широкой лодочке</w:t>
      </w:r>
      <w:r>
        <w:rPr>
          <w:rStyle w:val="WwT5"/>
          <w:color w:val="FF3333"/>
        </w:rPr>
        <w:br/>
      </w:r>
      <w:r>
        <w:rPr>
          <w:rStyle w:val="WwT4"/>
          <w:color w:val="FF3333"/>
        </w:rPr>
        <w:t>В город пировать.</w:t>
      </w:r>
      <w:r>
        <w:rPr>
          <w:rStyle w:val="WwT5"/>
          <w:color w:val="FF3333"/>
        </w:rPr>
        <w:br/>
      </w:r>
      <w:r>
        <w:rPr>
          <w:rStyle w:val="WwT4"/>
          <w:color w:val="FF3333"/>
        </w:rPr>
        <w:t>Прощай, зима холодная,</w:t>
      </w:r>
      <w:r>
        <w:rPr>
          <w:rStyle w:val="WwT5"/>
          <w:color w:val="FF3333"/>
        </w:rPr>
        <w:br/>
      </w:r>
      <w:r>
        <w:rPr>
          <w:rStyle w:val="WwT4"/>
          <w:color w:val="FF3333"/>
        </w:rPr>
        <w:t>Приходи, лето красное.</w:t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605" cy="14605"/>
            <wp:effectExtent l="0" t="0" r="0" b="0"/>
            <wp:wrapNone/>
            <wp:docPr id="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1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WwP3"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40005</wp:posOffset>
            </wp:positionH>
            <wp:positionV relativeFrom="paragraph">
              <wp:posOffset>471805</wp:posOffset>
            </wp:positionV>
            <wp:extent cx="1384300" cy="986790"/>
            <wp:effectExtent l="0" t="0" r="0" b="0"/>
            <wp:wrapSquare wrapText="largest"/>
            <wp:docPr id="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98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itlePg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StarSymbol">
    <w:altName w:val="Arial Unicode MS"/>
    <w:charset w:val="02"/>
    <w:family w:val="auto"/>
    <w:pitch w:val="default"/>
  </w:font>
  <w:font w:name="Liberation Sans">
    <w:altName w:val="Arial"/>
    <w:charset w:val="cc"/>
    <w:family w:val="swiss"/>
    <w:pitch w:val="variable"/>
  </w:font>
  <w:font w:name="Liberation Sans">
    <w:altName w:val="Arial"/>
    <w:charset w:val="cc"/>
    <w:family w:val="roman"/>
    <w:pitch w:val="variable"/>
  </w:font>
  <w:font w:name="Comic Sans MS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sz w:val="20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pPr>
      <w:widowControl w:val="false"/>
      <w:suppressAutoHyphens w:val="true"/>
      <w:bidi w:val="0"/>
      <w:jc w:val="left"/>
    </w:pPr>
    <w:rPr>
      <w:rFonts w:ascii="Liberation Serif" w:hAnsi="Liberation Serif" w:eastAsia="SimSun" w:cs="Arial"/>
      <w:color w:val="00000A"/>
      <w:sz w:val="24"/>
      <w:szCs w:val="24"/>
      <w:lang w:val="ru-RU" w:eastAsia="zh-CN" w:bidi="hi-IN"/>
    </w:rPr>
  </w:style>
  <w:style w:type="character" w:styleId="Style14">
    <w:name w:val="Маркеры списка"/>
    <w:rPr>
      <w:rFonts w:ascii="StarSymbol" w:hAnsi="StarSymbol" w:eastAsia="StarSymbol" w:cs="StarSymbol"/>
      <w:sz w:val="18"/>
      <w:szCs w:val="18"/>
    </w:rPr>
  </w:style>
  <w:style w:type="character" w:styleId="Style15">
    <w:name w:val="Привязка сноски"/>
    <w:rPr>
      <w:vertAlign w:val="superscript"/>
    </w:rPr>
  </w:style>
  <w:style w:type="character" w:styleId="WFootnote20Symbol">
    <w:name w:val="wFootnote_20_Symbol"/>
    <w:rPr/>
  </w:style>
  <w:style w:type="character" w:styleId="WNumbering20Symbols">
    <w:name w:val="wNumbering_20_Symbols"/>
    <w:rPr/>
  </w:style>
  <w:style w:type="character" w:styleId="WBullet20Symbols">
    <w:name w:val="wBullet_20_Symbols"/>
    <w:rPr>
      <w:b w:val="false"/>
      <w:bCs w:val="false"/>
    </w:rPr>
  </w:style>
  <w:style w:type="character" w:styleId="WEndnote20Symbol">
    <w:name w:val="wEndnote_20_Symbol"/>
    <w:rPr/>
  </w:style>
  <w:style w:type="character" w:styleId="WFootnote20anchor">
    <w:name w:val="wFootnote_20_anchor"/>
    <w:rPr>
      <w:b w:val="false"/>
      <w:bCs w:val="false"/>
    </w:rPr>
  </w:style>
  <w:style w:type="character" w:styleId="WwT1">
    <w:name w:val="wwT1"/>
    <w:rPr>
      <w:b w:val="false"/>
      <w:bCs w:val="false"/>
    </w:rPr>
  </w:style>
  <w:style w:type="character" w:styleId="WwT2">
    <w:name w:val="wwT2"/>
    <w:rPr>
      <w:b w:val="false"/>
      <w:bCs w:val="false"/>
    </w:rPr>
  </w:style>
  <w:style w:type="character" w:styleId="WwT3">
    <w:name w:val="wwT3"/>
    <w:rPr>
      <w:b w:val="false"/>
      <w:bCs w:val="false"/>
    </w:rPr>
  </w:style>
  <w:style w:type="character" w:styleId="WwT4">
    <w:name w:val="wwT4"/>
    <w:rPr>
      <w:b w:val="false"/>
      <w:bCs w:val="false"/>
    </w:rPr>
  </w:style>
  <w:style w:type="character" w:styleId="WwT5">
    <w:name w:val="wwT5"/>
    <w:rPr>
      <w:b w:val="false"/>
      <w:bCs w:val="false"/>
    </w:rPr>
  </w:style>
  <w:style w:type="character" w:styleId="WwHyperlink">
    <w:name w:val="wwHyperlink"/>
    <w:rPr>
      <w:b w:val="false"/>
      <w:bCs w:val="false"/>
    </w:rPr>
  </w:style>
  <w:style w:type="character" w:styleId="WwFollowedHyperlink">
    <w:name w:val="wwFollowedHyperlink"/>
    <w:rPr>
      <w:b w:val="false"/>
      <w:bCs w:val="false"/>
    </w:rPr>
  </w:style>
  <w:style w:type="character" w:styleId="WwCommentReference">
    <w:name w:val="wwCommentReference"/>
    <w:rPr>
      <w:b w:val="false"/>
      <w:bCs w:val="false"/>
    </w:rPr>
  </w:style>
  <w:style w:type="character" w:styleId="WHyperlink">
    <w:name w:val="wHyperlink"/>
    <w:rPr>
      <w:b w:val="false"/>
      <w:bCs w:val="false"/>
    </w:rPr>
  </w:style>
  <w:style w:type="character" w:styleId="WFollowedHyperlink">
    <w:name w:val="wFollowedHyperlink"/>
    <w:rPr>
      <w:b w:val="false"/>
      <w:bCs w:val="false"/>
    </w:rPr>
  </w:style>
  <w:style w:type="character" w:styleId="WCommentReference">
    <w:name w:val="wCommentReference"/>
    <w:rPr>
      <w:b w:val="false"/>
      <w:bCs w:val="false"/>
    </w:rPr>
  </w:style>
  <w:style w:type="paragraph" w:styleId="Style16">
    <w:name w:val="Заголовок"/>
    <w:basedOn w:val="Normal"/>
    <w:next w:val="Style17"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Основной текст"/>
    <w:basedOn w:val="Normal"/>
    <w:pPr>
      <w:spacing w:lineRule="auto" w:line="288" w:before="0" w:after="140"/>
    </w:pPr>
    <w:rPr/>
  </w:style>
  <w:style w:type="paragraph" w:styleId="Style18">
    <w:name w:val="Список"/>
    <w:basedOn w:val="Style17"/>
    <w:pPr/>
    <w:rPr>
      <w:rFonts w:cs="Arial"/>
    </w:rPr>
  </w:style>
  <w:style w:type="paragraph" w:styleId="Style19">
    <w:name w:val="Название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pPr>
      <w:suppressLineNumbers/>
    </w:pPr>
    <w:rPr>
      <w:rFonts w:cs="Arial"/>
    </w:rPr>
  </w:style>
  <w:style w:type="paragraph" w:styleId="Wdefaultparagraphstyle">
    <w:name w:val="wdefault-paragraph-style"/>
    <w:pPr>
      <w:widowControl w:val="false"/>
      <w:suppressAutoHyphens w:val="true"/>
      <w:bidi w:val="0"/>
      <w:jc w:val="left"/>
    </w:pPr>
    <w:rPr>
      <w:rFonts w:ascii="Liberation Serif" w:hAnsi="Liberation Serif" w:eastAsia="SimSun" w:cs="Arial"/>
      <w:color w:val="00000A"/>
      <w:sz w:val="24"/>
      <w:szCs w:val="24"/>
      <w:lang w:val="ru-RU" w:eastAsia="zh-CN" w:bidi="hi-IN"/>
    </w:rPr>
  </w:style>
  <w:style w:type="paragraph" w:styleId="WStandard">
    <w:name w:val="wStandard"/>
    <w:basedOn w:val="Wdefaultparagraphstyle"/>
    <w:pPr/>
    <w:rPr/>
  </w:style>
  <w:style w:type="paragraph" w:styleId="WHeading">
    <w:name w:val="wHeading"/>
    <w:basedOn w:val="WStandard"/>
    <w:pPr>
      <w:spacing w:before="0" w:after="0"/>
    </w:pPr>
    <w:rPr>
      <w:rFonts w:ascii="Liberation Sans" w:hAnsi="Liberation Sans" w:eastAsia="Microsoft YaHei" w:cs="Arial"/>
      <w:sz w:val="28"/>
    </w:rPr>
  </w:style>
  <w:style w:type="paragraph" w:styleId="WText20body">
    <w:name w:val="wText_20_body"/>
    <w:basedOn w:val="WStandard"/>
    <w:pPr>
      <w:spacing w:lineRule="auto" w:line="288" w:before="0" w:after="0"/>
    </w:pPr>
    <w:rPr/>
  </w:style>
  <w:style w:type="paragraph" w:styleId="WList">
    <w:name w:val="wList"/>
    <w:basedOn w:val="WText20body"/>
    <w:pPr/>
    <w:rPr>
      <w:rFonts w:cs="Arial1"/>
    </w:rPr>
  </w:style>
  <w:style w:type="paragraph" w:styleId="WCaption">
    <w:name w:val="wCaption"/>
    <w:basedOn w:val="WStandard"/>
    <w:pPr>
      <w:spacing w:before="0" w:after="0"/>
    </w:pPr>
    <w:rPr>
      <w:rFonts w:cs="Arial1"/>
      <w:sz w:val="24"/>
    </w:rPr>
  </w:style>
  <w:style w:type="paragraph" w:styleId="WIndex">
    <w:name w:val="wIndex"/>
    <w:basedOn w:val="WStandard"/>
    <w:pPr/>
    <w:rPr>
      <w:rFonts w:cs="Arial1"/>
    </w:rPr>
  </w:style>
  <w:style w:type="paragraph" w:styleId="Wwdefaultparagraphstyle">
    <w:name w:val="wwdefault-paragraph-style"/>
    <w:basedOn w:val="Wdefaultparagraphstyle"/>
    <w:pPr/>
    <w:rPr>
      <w:rFonts w:ascii="Liberation Serif" w:hAnsi="Liberation Serif" w:eastAsia="SimSun" w:cs="Arial2"/>
      <w:sz w:val="24"/>
      <w:lang w:val="ru-RU"/>
    </w:rPr>
  </w:style>
  <w:style w:type="paragraph" w:styleId="WwStandard">
    <w:name w:val="wwStandard"/>
    <w:basedOn w:val="Wwdefaultparagraphstyle"/>
    <w:pPr/>
    <w:rPr/>
  </w:style>
  <w:style w:type="paragraph" w:styleId="WwHeading">
    <w:name w:val="wwHeading"/>
    <w:basedOn w:val="WwStandard"/>
    <w:pPr>
      <w:spacing w:before="0" w:after="0"/>
    </w:pPr>
    <w:rPr>
      <w:rFonts w:ascii="Liberation Sans" w:hAnsi="Liberation Sans" w:eastAsia="Microsoft YaHei" w:cs="Arial2"/>
      <w:sz w:val="28"/>
    </w:rPr>
  </w:style>
  <w:style w:type="paragraph" w:styleId="WwText5f205fbody">
    <w:name w:val="wwText_5f_20_5f_body"/>
    <w:basedOn w:val="WwStandard"/>
    <w:pPr>
      <w:spacing w:lineRule="auto" w:line="288" w:before="0" w:after="0"/>
    </w:pPr>
    <w:rPr/>
  </w:style>
  <w:style w:type="paragraph" w:styleId="WwList">
    <w:name w:val="wwList"/>
    <w:basedOn w:val="WwText5f205fbody"/>
    <w:pPr/>
    <w:rPr>
      <w:rFonts w:cs="Arial11"/>
    </w:rPr>
  </w:style>
  <w:style w:type="paragraph" w:styleId="WwCaption">
    <w:name w:val="wwCaption"/>
    <w:basedOn w:val="WwStandard"/>
    <w:pPr>
      <w:spacing w:before="0" w:after="0"/>
    </w:pPr>
    <w:rPr>
      <w:rFonts w:cs="Arial11"/>
      <w:sz w:val="24"/>
    </w:rPr>
  </w:style>
  <w:style w:type="paragraph" w:styleId="WwIndex">
    <w:name w:val="wwIndex"/>
    <w:basedOn w:val="WwStandard"/>
    <w:pPr/>
    <w:rPr>
      <w:rFonts w:cs="Arial11"/>
    </w:rPr>
  </w:style>
  <w:style w:type="paragraph" w:styleId="WwP1">
    <w:name w:val="wwP1"/>
    <w:basedOn w:val="WwStandard"/>
    <w:pPr>
      <w:spacing w:lineRule="auto" w:line="240"/>
      <w:ind w:left="0" w:right="0" w:hanging="0"/>
    </w:pPr>
    <w:rPr>
      <w:rFonts w:ascii="Comic Sans MS" w:hAnsi="Comic Sans MS"/>
      <w:sz w:val="30"/>
    </w:rPr>
  </w:style>
  <w:style w:type="paragraph" w:styleId="WwP2">
    <w:name w:val="wwP2"/>
    <w:basedOn w:val="WwStandard"/>
    <w:pPr>
      <w:spacing w:lineRule="auto" w:line="240"/>
      <w:ind w:left="0" w:right="0" w:hanging="0"/>
    </w:pPr>
    <w:rPr>
      <w:rFonts w:ascii="Comic Sans MS" w:hAnsi="Comic Sans MS"/>
      <w:sz w:val="30"/>
    </w:rPr>
  </w:style>
  <w:style w:type="paragraph" w:styleId="WwP3">
    <w:name w:val="wwP3"/>
    <w:basedOn w:val="WwStandard"/>
    <w:pPr>
      <w:spacing w:lineRule="auto" w:line="240"/>
      <w:ind w:left="0" w:right="0" w:hanging="0"/>
      <w:jc w:val="left"/>
    </w:pPr>
    <w:rPr>
      <w:rFonts w:ascii="Comic Sans MS" w:hAnsi="Comic Sans MS"/>
      <w:sz w:val="30"/>
    </w:rPr>
  </w:style>
  <w:style w:type="paragraph" w:styleId="WwP4">
    <w:name w:val="wwP4"/>
    <w:basedOn w:val="WwStandard"/>
    <w:pPr>
      <w:spacing w:lineRule="auto" w:line="240"/>
      <w:ind w:left="0" w:right="0" w:hanging="0"/>
      <w:jc w:val="left"/>
    </w:pPr>
    <w:rPr>
      <w:rFonts w:ascii="Comic Sans MS" w:hAnsi="Comic Sans MS"/>
      <w:sz w:val="30"/>
    </w:rPr>
  </w:style>
  <w:style w:type="paragraph" w:styleId="WwP5">
    <w:name w:val="wwP5"/>
    <w:basedOn w:val="WwStandard"/>
    <w:pPr>
      <w:spacing w:lineRule="auto" w:line="240"/>
      <w:ind w:left="0" w:right="0" w:hanging="0"/>
      <w:jc w:val="center"/>
    </w:pPr>
    <w:rPr>
      <w:rFonts w:ascii="Comic Sans MS" w:hAnsi="Comic Sans MS"/>
      <w:color w:val="FF0000"/>
      <w:sz w:val="48"/>
    </w:rPr>
  </w:style>
  <w:style w:type="paragraph" w:styleId="WwP6">
    <w:name w:val="wwP6"/>
    <w:basedOn w:val="WwStandard"/>
    <w:pPr>
      <w:spacing w:lineRule="auto" w:line="240"/>
      <w:ind w:left="0" w:right="0" w:hanging="0"/>
      <w:jc w:val="center"/>
    </w:pPr>
    <w:rPr>
      <w:rFonts w:ascii="Comic Sans MS" w:hAnsi="Comic Sans MS"/>
      <w:color w:val="FF0000"/>
      <w:sz w:val="24"/>
    </w:rPr>
  </w:style>
  <w:style w:type="paragraph" w:styleId="WwCommentText">
    <w:name w:val="wwCommentText"/>
    <w:basedOn w:val="Wdefaultparagraphstyle"/>
    <w:pPr/>
    <w:rPr>
      <w:sz w:val="20"/>
    </w:rPr>
  </w:style>
  <w:style w:type="paragraph" w:styleId="WwCommentSubject">
    <w:name w:val="wwCommentSubject"/>
    <w:basedOn w:val="WwCommentText"/>
    <w:pPr/>
    <w:rPr/>
  </w:style>
  <w:style w:type="paragraph" w:styleId="WP1">
    <w:name w:val="wP1"/>
    <w:basedOn w:val="WwP5"/>
    <w:pPr/>
    <w:rPr/>
  </w:style>
  <w:style w:type="paragraph" w:styleId="WCommentText">
    <w:name w:val="wCommentText"/>
    <w:pPr>
      <w:widowControl w:val="false"/>
      <w:suppressAutoHyphens w:val="true"/>
      <w:bidi w:val="0"/>
      <w:jc w:val="left"/>
    </w:pPr>
    <w:rPr>
      <w:rFonts w:ascii="Liberation Serif" w:hAnsi="Liberation Serif" w:eastAsia="SimSun" w:cs="Arial"/>
      <w:color w:val="00000A"/>
      <w:sz w:val="20"/>
      <w:szCs w:val="20"/>
      <w:lang w:val="ru-RU" w:eastAsia="zh-CN" w:bidi="hi-IN"/>
    </w:rPr>
  </w:style>
  <w:style w:type="paragraph" w:styleId="WCommentSubject">
    <w:name w:val="wCommentSubject"/>
    <w:basedOn w:val="WCommentText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894</TotalTime>
  <Application>LibreOffice/4.3.2.2$Windows_x86 LibreOffice_project/edfb5295ba211bd31ad47d0bad0118690f76407d</Application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2016-02-13T19:15:14Z</dcterms:created>
  <dc:language>ru-RU</dc:language>
  <dcterms:modified xsi:type="dcterms:W3CDTF">2016-02-13T20:05:36Z</dcterms:modified>
  <cp:revision>6</cp:revision>
</cp:coreProperties>
</file>